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BBC" w:rsidRPr="00FE2BBC" w:rsidRDefault="00FE2BBC" w:rsidP="00FE2BBC">
      <w:pPr>
        <w:shd w:val="clear" w:color="auto" w:fill="EDEDED"/>
        <w:spacing w:before="100" w:beforeAutospacing="1" w:after="100" w:afterAutospacing="1" w:line="240" w:lineRule="auto"/>
        <w:jc w:val="center"/>
        <w:outlineLvl w:val="1"/>
        <w:rPr>
          <w:rFonts w:ascii="Arial" w:eastAsia="Times New Roman" w:hAnsi="Arial" w:cs="Arial"/>
          <w:b/>
          <w:bCs/>
          <w:color w:val="606060"/>
          <w:sz w:val="26"/>
          <w:szCs w:val="26"/>
          <w:lang w:eastAsia="it-IT"/>
        </w:rPr>
      </w:pPr>
      <w:proofErr w:type="spellStart"/>
      <w:r w:rsidRPr="00FE2BBC">
        <w:rPr>
          <w:rFonts w:ascii="Arial" w:eastAsia="Times New Roman" w:hAnsi="Arial" w:cs="Arial"/>
          <w:b/>
          <w:bCs/>
          <w:color w:val="606060"/>
          <w:sz w:val="26"/>
          <w:szCs w:val="26"/>
          <w:lang w:eastAsia="it-IT"/>
        </w:rPr>
        <w:t>Abstract</w:t>
      </w:r>
      <w:proofErr w:type="spellEnd"/>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 xml:space="preserve">Il problema della sicurezza/insicurezza delle città, dalle grandi metropoli sino ai più piccoli centri urbani, ha sollecitato negli ultimi anni un’attenzione crescente da parte degli studiosi, degli analisti, degli organi di informazione, delle singole comunità.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b/>
          <w:color w:val="000000"/>
          <w:sz w:val="24"/>
          <w:szCs w:val="24"/>
          <w:lang w:eastAsia="it-IT"/>
        </w:rPr>
        <w:t>La delinquenza metropolitana</w:t>
      </w:r>
      <w:r w:rsidRPr="00FE2BBC">
        <w:rPr>
          <w:rFonts w:ascii="Arial" w:eastAsia="Times New Roman" w:hAnsi="Arial" w:cs="Arial"/>
          <w:color w:val="000000"/>
          <w:sz w:val="24"/>
          <w:szCs w:val="24"/>
          <w:lang w:eastAsia="it-IT"/>
        </w:rPr>
        <w:t xml:space="preserve"> viene oggi diffusamente considerata «un aspetto usuale della società moderna»: «un fatto – o meglio un insieme di fatti – che non richiede nessuna speciale motivazione o predisposizione, nessuna patologia o anormalità, e che è iscritto nella routine della vita economica e sociale». Svincolata dagli schemi positivistici, la dottrina criminologica ha maturato una nuova «cultura del controllo sociale» che ha messo in risalto, rispetto ad ogni visione enfatizzante del reo, l’esigenza di pianificare adeguate politiche e pratiche di prevenzione della devianza urbana attraverso «tutto l’insieme di istituzioni sociali, di strategie e di sanzioni, che mirano a ottenere la conformità di comportamento nella sfera normativa penalmente tutelata». Tale obiettivo viene generalmente perseguito dagli organismi istituzionali, locali e centrali, con diverse modalità annoverabili nel quadro degli interventi di: prevenzione sociale in cui si includono iniziative volte ad arginare la valenza dei fattori criminogeni, incidendo sulle circostanze sociali ed economiche che determinano l’insorgenza e la proliferazione delle condotte delittuose negli ambienti urbani; prevenzione giovanile con cui si tende a migliorare le capacità cognitive e relazionali del minore, in maniera tale da controllare un suo eventuale comportamento aggressivo, e ad insegnare a genitori e docenti come gestire, senza traumi ed ulteriori motivi di tensione, eventuali situazioni di crisi e di conflittualità interpersonale ed </w:t>
      </w:r>
      <w:proofErr w:type="spellStart"/>
      <w:r w:rsidRPr="00FE2BBC">
        <w:rPr>
          <w:rFonts w:ascii="Arial" w:eastAsia="Times New Roman" w:hAnsi="Arial" w:cs="Arial"/>
          <w:color w:val="000000"/>
          <w:sz w:val="24"/>
          <w:szCs w:val="24"/>
          <w:lang w:eastAsia="it-IT"/>
        </w:rPr>
        <w:t>interfamiliare</w:t>
      </w:r>
      <w:proofErr w:type="spellEnd"/>
      <w:r w:rsidRPr="00FE2BBC">
        <w:rPr>
          <w:rFonts w:ascii="Arial" w:eastAsia="Times New Roman" w:hAnsi="Arial" w:cs="Arial"/>
          <w:color w:val="000000"/>
          <w:sz w:val="24"/>
          <w:szCs w:val="24"/>
          <w:lang w:eastAsia="it-IT"/>
        </w:rPr>
        <w:t xml:space="preserve"> che coinvolgano adolescenti; prevenzione situazionale con cui si mira a disincentivare la propensione al delitto, aumentando le difficoltà pratiche ed il rischio di essere scoperti e sanzionati che – ovviamente – viene ponderato dal reo.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Nella loro quotidianità, le “</w:t>
      </w:r>
      <w:r w:rsidRPr="00FE2BBC">
        <w:rPr>
          <w:rFonts w:ascii="Arial" w:eastAsia="Times New Roman" w:hAnsi="Arial" w:cs="Arial"/>
          <w:b/>
          <w:color w:val="000000"/>
          <w:sz w:val="24"/>
          <w:szCs w:val="24"/>
          <w:lang w:eastAsia="it-IT"/>
        </w:rPr>
        <w:t>politiche di controllo sociale</w:t>
      </w:r>
      <w:r w:rsidRPr="00FE2BBC">
        <w:rPr>
          <w:rFonts w:ascii="Arial" w:eastAsia="Times New Roman" w:hAnsi="Arial" w:cs="Arial"/>
          <w:color w:val="000000"/>
          <w:sz w:val="24"/>
          <w:szCs w:val="24"/>
          <w:lang w:eastAsia="it-IT"/>
        </w:rPr>
        <w:t>” si sono tuttavia espresse in diversi contesti – ed anche nel nostro Paese - in maniera a tratti assai discutibile e, comunque, con risultati non sempre apprezzabili quando non - addirittura – controproducenti. La violenta repressione dei soggetti ritenuti “devianti” (</w:t>
      </w:r>
      <w:r w:rsidRPr="00FE2BBC">
        <w:rPr>
          <w:rFonts w:ascii="Arial" w:eastAsia="Times New Roman" w:hAnsi="Arial" w:cs="Arial"/>
          <w:b/>
          <w:color w:val="000000"/>
          <w:sz w:val="24"/>
          <w:szCs w:val="24"/>
          <w:lang w:eastAsia="it-IT"/>
        </w:rPr>
        <w:t xml:space="preserve">zero </w:t>
      </w:r>
      <w:proofErr w:type="spellStart"/>
      <w:r w:rsidRPr="00FE2BBC">
        <w:rPr>
          <w:rFonts w:ascii="Arial" w:eastAsia="Times New Roman" w:hAnsi="Arial" w:cs="Arial"/>
          <w:b/>
          <w:color w:val="000000"/>
          <w:sz w:val="24"/>
          <w:szCs w:val="24"/>
          <w:lang w:eastAsia="it-IT"/>
        </w:rPr>
        <w:t>tolerance</w:t>
      </w:r>
      <w:proofErr w:type="spellEnd"/>
      <w:r w:rsidRPr="00FE2BBC">
        <w:rPr>
          <w:rFonts w:ascii="Arial" w:eastAsia="Times New Roman" w:hAnsi="Arial" w:cs="Arial"/>
          <w:b/>
          <w:color w:val="000000"/>
          <w:sz w:val="24"/>
          <w:szCs w:val="24"/>
          <w:lang w:eastAsia="it-IT"/>
        </w:rPr>
        <w:t xml:space="preserve"> policy</w:t>
      </w:r>
      <w:r w:rsidRPr="00FE2BBC">
        <w:rPr>
          <w:rFonts w:ascii="Arial" w:eastAsia="Times New Roman" w:hAnsi="Arial" w:cs="Arial"/>
          <w:color w:val="000000"/>
          <w:sz w:val="24"/>
          <w:szCs w:val="24"/>
          <w:lang w:eastAsia="it-IT"/>
        </w:rPr>
        <w:t xml:space="preserve">), l’ulteriore ghettizzazione di individui di per sé già emarginati dal contesto sociale, l’edificazione di interi quartieri fortificati, chiusi anche simbolicamente dal resto della comunità urbana, si sono rivelate, più che misure efficaci nel contrasto alla criminalità, come dei «cortocircuiti semplificatori in rapporto alla complessità dell’insieme dei problemi posti dall’insicurezza».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 xml:space="preserve">L’apologia della paura è venuta così a riflettersi, anche fisicamente, nelle forme architettoniche delle </w:t>
      </w:r>
      <w:r w:rsidRPr="00FE2BBC">
        <w:rPr>
          <w:rFonts w:ascii="Arial" w:eastAsia="Times New Roman" w:hAnsi="Arial" w:cs="Arial"/>
          <w:b/>
          <w:color w:val="000000"/>
          <w:sz w:val="24"/>
          <w:szCs w:val="24"/>
          <w:lang w:eastAsia="it-IT"/>
        </w:rPr>
        <w:t xml:space="preserve">nuove città fortificate ed </w:t>
      </w:r>
      <w:proofErr w:type="spellStart"/>
      <w:r w:rsidRPr="00FE2BBC">
        <w:rPr>
          <w:rFonts w:ascii="Arial" w:eastAsia="Times New Roman" w:hAnsi="Arial" w:cs="Arial"/>
          <w:b/>
          <w:color w:val="000000"/>
          <w:sz w:val="24"/>
          <w:szCs w:val="24"/>
          <w:lang w:eastAsia="it-IT"/>
        </w:rPr>
        <w:t>ipersorvegliate</w:t>
      </w:r>
      <w:proofErr w:type="spellEnd"/>
      <w:r w:rsidRPr="00FE2BBC">
        <w:rPr>
          <w:rFonts w:ascii="Arial" w:eastAsia="Times New Roman" w:hAnsi="Arial" w:cs="Arial"/>
          <w:color w:val="000000"/>
          <w:sz w:val="24"/>
          <w:szCs w:val="24"/>
          <w:lang w:eastAsia="it-IT"/>
        </w:rPr>
        <w:t xml:space="preserve">; in quelle </w:t>
      </w:r>
      <w:proofErr w:type="spellStart"/>
      <w:r w:rsidRPr="00FE2BBC">
        <w:rPr>
          <w:rFonts w:ascii="Arial" w:eastAsia="Times New Roman" w:hAnsi="Arial" w:cs="Arial"/>
          <w:color w:val="000000"/>
          <w:sz w:val="24"/>
          <w:szCs w:val="24"/>
          <w:lang w:eastAsia="it-IT"/>
        </w:rPr>
        <w:t>gated-communities</w:t>
      </w:r>
      <w:proofErr w:type="spellEnd"/>
      <w:r w:rsidRPr="00FE2BBC">
        <w:rPr>
          <w:rFonts w:ascii="Arial" w:eastAsia="Times New Roman" w:hAnsi="Arial" w:cs="Arial"/>
          <w:color w:val="000000"/>
          <w:sz w:val="24"/>
          <w:szCs w:val="24"/>
          <w:lang w:eastAsia="it-IT"/>
        </w:rPr>
        <w:t xml:space="preserve"> in cui l’individuo non esita a sacrificare una componente essenziale della propria libertà, della propria privacy, delle proprie possibilità di contatto diretto con l’altro da sé, sull’altare di un sistema di controllo che </w:t>
      </w:r>
      <w:proofErr w:type="spellStart"/>
      <w:r w:rsidRPr="00FE2BBC">
        <w:rPr>
          <w:rFonts w:ascii="Arial" w:eastAsia="Times New Roman" w:hAnsi="Arial" w:cs="Arial"/>
          <w:color w:val="000000"/>
          <w:sz w:val="24"/>
          <w:szCs w:val="24"/>
          <w:lang w:eastAsia="it-IT"/>
        </w:rPr>
        <w:t>malcela</w:t>
      </w:r>
      <w:proofErr w:type="spellEnd"/>
      <w:r w:rsidRPr="00FE2BBC">
        <w:rPr>
          <w:rFonts w:ascii="Arial" w:eastAsia="Times New Roman" w:hAnsi="Arial" w:cs="Arial"/>
          <w:color w:val="000000"/>
          <w:sz w:val="24"/>
          <w:szCs w:val="24"/>
          <w:lang w:eastAsia="it-IT"/>
        </w:rPr>
        <w:t xml:space="preserve">, a sua volta, implacabili contraddizioni. Nei pressanti interrogativi circa la percezione, la diffusione e la padronanza del rischio nella società contemporanea - </w:t>
      </w:r>
      <w:proofErr w:type="spellStart"/>
      <w:r w:rsidRPr="00FE2BBC">
        <w:rPr>
          <w:rFonts w:ascii="Arial" w:eastAsia="Times New Roman" w:hAnsi="Arial" w:cs="Arial"/>
          <w:color w:val="000000"/>
          <w:sz w:val="24"/>
          <w:szCs w:val="24"/>
          <w:lang w:eastAsia="it-IT"/>
        </w:rPr>
        <w:t>glocale</w:t>
      </w:r>
      <w:proofErr w:type="spellEnd"/>
      <w:r w:rsidRPr="00FE2BBC">
        <w:rPr>
          <w:rFonts w:ascii="Arial" w:eastAsia="Times New Roman" w:hAnsi="Arial" w:cs="Arial"/>
          <w:color w:val="000000"/>
          <w:sz w:val="24"/>
          <w:szCs w:val="24"/>
          <w:lang w:eastAsia="it-IT"/>
        </w:rPr>
        <w:t xml:space="preserve">, postmoderna, </w:t>
      </w:r>
      <w:proofErr w:type="spellStart"/>
      <w:r w:rsidRPr="00FE2BBC">
        <w:rPr>
          <w:rFonts w:ascii="Arial" w:eastAsia="Times New Roman" w:hAnsi="Arial" w:cs="Arial"/>
          <w:color w:val="000000"/>
          <w:sz w:val="24"/>
          <w:szCs w:val="24"/>
          <w:lang w:eastAsia="it-IT"/>
        </w:rPr>
        <w:t>tardomoderna</w:t>
      </w:r>
      <w:proofErr w:type="spellEnd"/>
      <w:r w:rsidRPr="00FE2BBC">
        <w:rPr>
          <w:rFonts w:ascii="Arial" w:eastAsia="Times New Roman" w:hAnsi="Arial" w:cs="Arial"/>
          <w:color w:val="000000"/>
          <w:sz w:val="24"/>
          <w:szCs w:val="24"/>
          <w:lang w:eastAsia="it-IT"/>
        </w:rPr>
        <w:t xml:space="preserve">, </w:t>
      </w:r>
      <w:proofErr w:type="spellStart"/>
      <w:r w:rsidRPr="00FE2BBC">
        <w:rPr>
          <w:rFonts w:ascii="Arial" w:eastAsia="Times New Roman" w:hAnsi="Arial" w:cs="Arial"/>
          <w:color w:val="000000"/>
          <w:sz w:val="24"/>
          <w:szCs w:val="24"/>
          <w:lang w:eastAsia="it-IT"/>
        </w:rPr>
        <w:t>surmoderna</w:t>
      </w:r>
      <w:proofErr w:type="spellEnd"/>
      <w:r w:rsidRPr="00FE2BBC">
        <w:rPr>
          <w:rFonts w:ascii="Arial" w:eastAsia="Times New Roman" w:hAnsi="Arial" w:cs="Arial"/>
          <w:color w:val="000000"/>
          <w:sz w:val="24"/>
          <w:szCs w:val="24"/>
          <w:lang w:eastAsia="it-IT"/>
        </w:rPr>
        <w:t xml:space="preserve"> o della “seconda modernità”, a seconda del punto di vista al quale si aderisce – va colto l’eco delle diverse concezioni della sicurezza urbana, intesa sia in senso oggettivo, quale «situazione che, in modo obiettivo e verificabile, non comporta l’esposizione a fattori di rischio», che in senso soggettivo, quale «risultante psicologica di un complesso insieme di fattori, tra cui anche indicatori oggettivi di sicurezza ma soprattutto modelli culturali, stili di vita, caratteristiche di personalità, pregiudizi, e così via». Le amministrazioni locali sono direttamente chiamate a garantire questo bisogno primario di sicurezza che promana dagli individui, assumendo un ruolo di primo piano </w:t>
      </w:r>
      <w:r w:rsidRPr="00FE2BBC">
        <w:rPr>
          <w:rFonts w:ascii="Arial" w:eastAsia="Times New Roman" w:hAnsi="Arial" w:cs="Arial"/>
          <w:color w:val="000000"/>
          <w:sz w:val="24"/>
          <w:szCs w:val="24"/>
          <w:lang w:eastAsia="it-IT"/>
        </w:rPr>
        <w:lastRenderedPageBreak/>
        <w:t xml:space="preserve">nell’adozione di innovative politiche per la sicurezza urbana che siano fra loro complementari, funzionalmente differenziate, integrali (in quanto parte della politica di protezione integrale di tutti i diritti), integrate (perché rivolte a soggetti e responsabilità diverse), sussidiarie (perché non valgono a sostituire i meccanismi spontanei di prevenzione e controllo della devianza che si sviluppano nella società), partecipative e multidimensionali (perché attuate con il concorso di organismi comunali, regionali, provinciali, nazionali e sovranazionali).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 xml:space="preserve">Questa nuova assunzione di responsabilità da parte delle Amministrazioni di prossimità contribuisce a sancire il passaggio epocale «da una tradizionale attività di governo a una di </w:t>
      </w:r>
      <w:proofErr w:type="spellStart"/>
      <w:r w:rsidRPr="00FE2BBC">
        <w:rPr>
          <w:rFonts w:ascii="Arial" w:eastAsia="Times New Roman" w:hAnsi="Arial" w:cs="Arial"/>
          <w:color w:val="000000"/>
          <w:sz w:val="24"/>
          <w:szCs w:val="24"/>
          <w:lang w:eastAsia="it-IT"/>
        </w:rPr>
        <w:t>governance</w:t>
      </w:r>
      <w:proofErr w:type="spellEnd"/>
      <w:r w:rsidRPr="00FE2BBC">
        <w:rPr>
          <w:rFonts w:ascii="Arial" w:eastAsia="Times New Roman" w:hAnsi="Arial" w:cs="Arial"/>
          <w:color w:val="000000"/>
          <w:sz w:val="24"/>
          <w:szCs w:val="24"/>
          <w:lang w:eastAsia="it-IT"/>
        </w:rPr>
        <w:t xml:space="preserve">» che deriva «da un’azione integrata di una molteplicità di soggetti e si esercita tanto secondo procedure precostituite, quanto per una libera scelta di dar vita a una coalizione che vada a vantaggio di ciascuno degli attori e della società urbana nel suo complesso».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 xml:space="preserve">All’analisi dei diversi </w:t>
      </w:r>
      <w:r w:rsidRPr="00FE2BBC">
        <w:rPr>
          <w:rFonts w:ascii="Arial" w:eastAsia="Times New Roman" w:hAnsi="Arial" w:cs="Arial"/>
          <w:b/>
          <w:color w:val="000000"/>
          <w:sz w:val="24"/>
          <w:szCs w:val="24"/>
          <w:lang w:eastAsia="it-IT"/>
        </w:rPr>
        <w:t xml:space="preserve">sistemi di </w:t>
      </w:r>
      <w:proofErr w:type="spellStart"/>
      <w:r w:rsidRPr="00FE2BBC">
        <w:rPr>
          <w:rFonts w:ascii="Arial" w:eastAsia="Times New Roman" w:hAnsi="Arial" w:cs="Arial"/>
          <w:b/>
          <w:color w:val="000000"/>
          <w:sz w:val="24"/>
          <w:szCs w:val="24"/>
          <w:lang w:eastAsia="it-IT"/>
        </w:rPr>
        <w:t>governance</w:t>
      </w:r>
      <w:proofErr w:type="spellEnd"/>
      <w:r w:rsidRPr="00FE2BBC">
        <w:rPr>
          <w:rFonts w:ascii="Arial" w:eastAsia="Times New Roman" w:hAnsi="Arial" w:cs="Arial"/>
          <w:b/>
          <w:color w:val="000000"/>
          <w:sz w:val="24"/>
          <w:szCs w:val="24"/>
          <w:lang w:eastAsia="it-IT"/>
        </w:rPr>
        <w:t xml:space="preserve"> della sicurezza urbana</w:t>
      </w:r>
      <w:r w:rsidRPr="00FE2BBC">
        <w:rPr>
          <w:rFonts w:ascii="Arial" w:eastAsia="Times New Roman" w:hAnsi="Arial" w:cs="Arial"/>
          <w:color w:val="000000"/>
          <w:sz w:val="24"/>
          <w:szCs w:val="24"/>
          <w:lang w:eastAsia="it-IT"/>
        </w:rPr>
        <w:t xml:space="preserve"> che hanno trovato applicazione e sperimentazione in Italia, negli ultimi anni, e in particolare negli ambienti territoriali e comunitari di Roma e del Lazio che appaiono, per molti versi, esemplificativi della complessa realtà metropolitana del nostro tempo, è dedicata questa ricerca. Risulterà immediatamente chiaro come il paradigma teorico entro il quale si dipana il percorso di questo studio sia riconducibile agli orientamenti della psicologia topologica di Kurt </w:t>
      </w:r>
      <w:proofErr w:type="spellStart"/>
      <w:r w:rsidRPr="00FE2BBC">
        <w:rPr>
          <w:rFonts w:ascii="Arial" w:eastAsia="Times New Roman" w:hAnsi="Arial" w:cs="Arial"/>
          <w:color w:val="000000"/>
          <w:sz w:val="24"/>
          <w:szCs w:val="24"/>
          <w:lang w:eastAsia="it-IT"/>
        </w:rPr>
        <w:t>Lewin</w:t>
      </w:r>
      <w:proofErr w:type="spellEnd"/>
      <w:r w:rsidRPr="00FE2BBC">
        <w:rPr>
          <w:rFonts w:ascii="Arial" w:eastAsia="Times New Roman" w:hAnsi="Arial" w:cs="Arial"/>
          <w:color w:val="000000"/>
          <w:sz w:val="24"/>
          <w:szCs w:val="24"/>
          <w:lang w:eastAsia="it-IT"/>
        </w:rPr>
        <w:t xml:space="preserve">, introdotti nella letteratura </w:t>
      </w:r>
      <w:proofErr w:type="spellStart"/>
      <w:r w:rsidRPr="00FE2BBC">
        <w:rPr>
          <w:rFonts w:ascii="Arial" w:eastAsia="Times New Roman" w:hAnsi="Arial" w:cs="Arial"/>
          <w:color w:val="000000"/>
          <w:sz w:val="24"/>
          <w:szCs w:val="24"/>
          <w:lang w:eastAsia="it-IT"/>
        </w:rPr>
        <w:t>sociocriminologica</w:t>
      </w:r>
      <w:proofErr w:type="spellEnd"/>
      <w:r w:rsidRPr="00FE2BBC">
        <w:rPr>
          <w:rFonts w:ascii="Arial" w:eastAsia="Times New Roman" w:hAnsi="Arial" w:cs="Arial"/>
          <w:color w:val="000000"/>
          <w:sz w:val="24"/>
          <w:szCs w:val="24"/>
          <w:lang w:eastAsia="it-IT"/>
        </w:rPr>
        <w:t xml:space="preserve"> dall’opera di Augusto Balloni.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 xml:space="preserve">Il provvidenziale </w:t>
      </w:r>
      <w:r w:rsidRPr="00FE2BBC">
        <w:rPr>
          <w:rFonts w:ascii="Arial" w:eastAsia="Times New Roman" w:hAnsi="Arial" w:cs="Arial"/>
          <w:b/>
          <w:color w:val="000000"/>
          <w:sz w:val="24"/>
          <w:szCs w:val="24"/>
          <w:lang w:eastAsia="it-IT"/>
        </w:rPr>
        <w:t>crollo di antichi steccati di divisione</w:t>
      </w:r>
      <w:r w:rsidRPr="00FE2BBC">
        <w:rPr>
          <w:rFonts w:ascii="Arial" w:eastAsia="Times New Roman" w:hAnsi="Arial" w:cs="Arial"/>
          <w:color w:val="000000"/>
          <w:sz w:val="24"/>
          <w:szCs w:val="24"/>
          <w:lang w:eastAsia="it-IT"/>
        </w:rPr>
        <w:t xml:space="preserve">, l’avvento di </w:t>
      </w:r>
      <w:proofErr w:type="spellStart"/>
      <w:r w:rsidRPr="00FE2BBC">
        <w:rPr>
          <w:rFonts w:ascii="Arial" w:eastAsia="Times New Roman" w:hAnsi="Arial" w:cs="Arial"/>
          <w:color w:val="000000"/>
          <w:sz w:val="24"/>
          <w:szCs w:val="24"/>
          <w:lang w:eastAsia="it-IT"/>
        </w:rPr>
        <w:t>internet</w:t>
      </w:r>
      <w:proofErr w:type="spellEnd"/>
      <w:r w:rsidRPr="00FE2BBC">
        <w:rPr>
          <w:rFonts w:ascii="Arial" w:eastAsia="Times New Roman" w:hAnsi="Arial" w:cs="Arial"/>
          <w:color w:val="000000"/>
          <w:sz w:val="24"/>
          <w:szCs w:val="24"/>
          <w:lang w:eastAsia="it-IT"/>
        </w:rPr>
        <w:t xml:space="preserve"> e, quindi, la deflagrante estensione delle frontiere degli «ambienti psicologici» in cui è destinata a svilupparsi, nel bene ma anche nel male, la personalità umana non hanno scalfito, a nostro sommesso avviso, l’attualità e la validità della «teoria del campo» </w:t>
      </w:r>
      <w:proofErr w:type="spellStart"/>
      <w:r w:rsidRPr="00FE2BBC">
        <w:rPr>
          <w:rFonts w:ascii="Arial" w:eastAsia="Times New Roman" w:hAnsi="Arial" w:cs="Arial"/>
          <w:color w:val="000000"/>
          <w:sz w:val="24"/>
          <w:szCs w:val="24"/>
          <w:lang w:eastAsia="it-IT"/>
        </w:rPr>
        <w:t>lewiniana</w:t>
      </w:r>
      <w:proofErr w:type="spellEnd"/>
      <w:r w:rsidRPr="00FE2BBC">
        <w:rPr>
          <w:rFonts w:ascii="Arial" w:eastAsia="Times New Roman" w:hAnsi="Arial" w:cs="Arial"/>
          <w:color w:val="000000"/>
          <w:sz w:val="24"/>
          <w:szCs w:val="24"/>
          <w:lang w:eastAsia="it-IT"/>
        </w:rPr>
        <w:t xml:space="preserve"> per cui il comportamento degli individui (C) appare anche a noi, oggi, condizionato dalla stretta interrelazione che sussiste fra le proprie connotazioni soggettive (P) e il proprio ambiente di riferimento (A), all’interno di un particolare «spazio di vita».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 xml:space="preserve">Su queste basi, il nostro itinerario concettuale prende avvio dall’analisi dell’ambiente urbano, quale componente essenziale del più ampio «ambiente psicologico» e quale cornice straordinariamente ricca di elementi di “con-formazione” dei comportamenti sociali, per poi soffermarsi sulla disamina delle pulsioni e dei sentimenti soggettivi che agitano le persone nei controversi spazi di vita del nostro tempo. </w:t>
      </w:r>
    </w:p>
    <w:p w:rsidR="00630B66" w:rsidRDefault="00FE2BBC" w:rsidP="00FE2BBC">
      <w:pPr>
        <w:shd w:val="clear" w:color="auto" w:fill="EDEDED"/>
        <w:spacing w:before="240" w:after="60" w:line="240" w:lineRule="auto"/>
        <w:rPr>
          <w:rFonts w:ascii="Arial" w:eastAsia="Times New Roman" w:hAnsi="Arial" w:cs="Arial"/>
          <w:color w:val="000000"/>
          <w:sz w:val="24"/>
          <w:szCs w:val="24"/>
          <w:lang w:eastAsia="it-IT"/>
        </w:rPr>
      </w:pPr>
      <w:r w:rsidRPr="00FE2BBC">
        <w:rPr>
          <w:rFonts w:ascii="Arial" w:eastAsia="Times New Roman" w:hAnsi="Arial" w:cs="Arial"/>
          <w:color w:val="FF0000"/>
          <w:sz w:val="24"/>
          <w:szCs w:val="24"/>
          <w:lang w:eastAsia="it-IT"/>
        </w:rPr>
        <w:t>Particolare attenzione viene inoltre riservata all’approfondimento, a tratti anche critico, della normativa vigente in materia di «sicurezza urbana», nella ferma convinzione che proprio nel diritto – ed in special modo nell’ordinamento penale – vada colto il riflesso e la misura del grado di civiltà ma anche delle tensioni e delle contraddizioni sociali che tormentano la nostra epoca</w:t>
      </w:r>
      <w:r w:rsidRPr="00FE2BBC">
        <w:rPr>
          <w:rFonts w:ascii="Arial" w:eastAsia="Times New Roman" w:hAnsi="Arial" w:cs="Arial"/>
          <w:color w:val="000000"/>
          <w:sz w:val="24"/>
          <w:szCs w:val="24"/>
          <w:lang w:eastAsia="it-IT"/>
        </w:rPr>
        <w:t xml:space="preserve">. </w:t>
      </w:r>
    </w:p>
    <w:p w:rsidR="00FE2BBC" w:rsidRPr="00FE2BBC" w:rsidRDefault="00FE2BBC" w:rsidP="00FE2BBC">
      <w:pPr>
        <w:shd w:val="clear" w:color="auto" w:fill="EDEDED"/>
        <w:spacing w:before="240" w:after="60" w:line="240" w:lineRule="auto"/>
        <w:rPr>
          <w:rFonts w:ascii="Arial" w:eastAsia="Times New Roman" w:hAnsi="Arial" w:cs="Arial"/>
          <w:color w:val="000000"/>
          <w:sz w:val="24"/>
          <w:szCs w:val="24"/>
          <w:lang w:eastAsia="it-IT"/>
        </w:rPr>
      </w:pPr>
      <w:bookmarkStart w:id="0" w:name="_GoBack"/>
      <w:bookmarkEnd w:id="0"/>
      <w:r w:rsidRPr="00FE2BBC">
        <w:rPr>
          <w:rFonts w:ascii="Arial" w:eastAsia="Times New Roman" w:hAnsi="Arial" w:cs="Arial"/>
          <w:color w:val="000000"/>
          <w:sz w:val="24"/>
          <w:szCs w:val="24"/>
          <w:lang w:eastAsia="it-IT"/>
        </w:rPr>
        <w:t xml:space="preserve">Notevoli spunti ed un contributo essenziale per l’elaborazione della parte di ricerca empirica sono derivati dall’intensa attività di analisi sociale espletata (in collaborazione con l’ANCI) nell’ambito dell’Osservatorio Tecnico Scientifico per la Sicurezza e la Legalità della Regione Lazio, un organismo di supporto della Presidenza della Giunta Regionale del Lazio al quale compete, ai sensi dell’art. 8 della legge regionale n. 15 del 2001, la funzione specifica di provvedere al monitoraggio costante dei fenomeni criminali nel Lazio. </w:t>
      </w:r>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Tipologia del documento</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Tesi di dottorato</w:t>
      </w:r>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Autore</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proofErr w:type="spellStart"/>
      <w:r w:rsidRPr="00FE2BBC">
        <w:rPr>
          <w:rFonts w:ascii="Arial" w:eastAsia="Times New Roman" w:hAnsi="Arial" w:cs="Arial"/>
          <w:b/>
          <w:bCs/>
          <w:color w:val="000000"/>
          <w:sz w:val="24"/>
          <w:szCs w:val="24"/>
          <w:lang w:eastAsia="it-IT"/>
        </w:rPr>
        <w:lastRenderedPageBreak/>
        <w:t>Vasaturo</w:t>
      </w:r>
      <w:proofErr w:type="spellEnd"/>
      <w:r w:rsidRPr="00FE2BBC">
        <w:rPr>
          <w:rFonts w:ascii="Arial" w:eastAsia="Times New Roman" w:hAnsi="Arial" w:cs="Arial"/>
          <w:b/>
          <w:bCs/>
          <w:color w:val="000000"/>
          <w:sz w:val="24"/>
          <w:szCs w:val="24"/>
          <w:lang w:eastAsia="it-IT"/>
        </w:rPr>
        <w:t>, Giulio</w:t>
      </w:r>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Relatore</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hyperlink r:id="rId4" w:history="1">
        <w:r w:rsidRPr="00FE2BBC">
          <w:rPr>
            <w:rFonts w:ascii="Arial" w:eastAsia="Times New Roman" w:hAnsi="Arial" w:cs="Arial"/>
            <w:b/>
            <w:bCs/>
            <w:color w:val="A73743"/>
            <w:sz w:val="24"/>
            <w:szCs w:val="24"/>
            <w:lang w:eastAsia="it-IT"/>
          </w:rPr>
          <w:t>Marotta, Gemma</w:t>
        </w:r>
      </w:hyperlink>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Dottorato di ricerca</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hyperlink r:id="rId5" w:history="1">
        <w:r w:rsidRPr="00FE2BBC">
          <w:rPr>
            <w:rFonts w:ascii="Arial" w:eastAsia="Times New Roman" w:hAnsi="Arial" w:cs="Arial"/>
            <w:b/>
            <w:bCs/>
            <w:color w:val="A73743"/>
            <w:sz w:val="24"/>
            <w:szCs w:val="24"/>
            <w:u w:val="single"/>
            <w:lang w:eastAsia="it-IT"/>
          </w:rPr>
          <w:t>Criminologia</w:t>
        </w:r>
      </w:hyperlink>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Scuola di dottorato</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Scienze politiche e sociali</w:t>
      </w:r>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Ciclo</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21</w:t>
      </w:r>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Coordinatore</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hyperlink r:id="rId6" w:history="1">
        <w:r w:rsidRPr="00FE2BBC">
          <w:rPr>
            <w:rFonts w:ascii="Arial" w:eastAsia="Times New Roman" w:hAnsi="Arial" w:cs="Arial"/>
            <w:b/>
            <w:bCs/>
            <w:color w:val="A73743"/>
            <w:sz w:val="24"/>
            <w:szCs w:val="24"/>
            <w:lang w:eastAsia="it-IT"/>
          </w:rPr>
          <w:t>Balloni, Augusto</w:t>
        </w:r>
      </w:hyperlink>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Settore disciplinare</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hyperlink r:id="rId7" w:history="1">
        <w:r w:rsidRPr="00FE2BBC">
          <w:rPr>
            <w:rFonts w:ascii="Arial" w:eastAsia="Times New Roman" w:hAnsi="Arial" w:cs="Arial"/>
            <w:b/>
            <w:bCs/>
            <w:color w:val="A73743"/>
            <w:sz w:val="24"/>
            <w:szCs w:val="24"/>
            <w:u w:val="single"/>
            <w:lang w:eastAsia="it-IT"/>
          </w:rPr>
          <w:t>Area 14 - Scienze politiche e sociali &gt; SPS/12 Sociologia giuridica, della devianza e mutamento sociale</w:t>
        </w:r>
      </w:hyperlink>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Settore concorsuale</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hyperlink r:id="rId8" w:history="1">
        <w:r w:rsidRPr="00FE2BBC">
          <w:rPr>
            <w:rFonts w:ascii="Arial" w:eastAsia="Times New Roman" w:hAnsi="Arial" w:cs="Arial"/>
            <w:b/>
            <w:bCs/>
            <w:color w:val="A73743"/>
            <w:sz w:val="24"/>
            <w:szCs w:val="24"/>
            <w:u w:val="single"/>
            <w:lang w:eastAsia="it-IT"/>
          </w:rPr>
          <w:t>Area 14 - Scienze politiche e sociali &gt; 14/C - Sociologia &gt; 14/C1 Sociologia generale, giuridica e politica</w:t>
        </w:r>
      </w:hyperlink>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Parole chiave</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CITTA', SICUREZZA URBANA, DEVIANZA, CONTROLLO SOCIALE, PAURA, MIXOFOBIA, CRIMINALITA'</w:t>
      </w:r>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proofErr w:type="gramStart"/>
      <w:r w:rsidRPr="00FE2BBC">
        <w:rPr>
          <w:rFonts w:ascii="Arial" w:eastAsia="Times New Roman" w:hAnsi="Arial" w:cs="Arial"/>
          <w:b/>
          <w:bCs/>
          <w:color w:val="606060"/>
          <w:sz w:val="24"/>
          <w:szCs w:val="24"/>
          <w:lang w:eastAsia="it-IT"/>
        </w:rPr>
        <w:t>URN:NBN</w:t>
      </w:r>
      <w:proofErr w:type="gramEnd"/>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hyperlink r:id="rId9" w:tgtFrame="_blank" w:history="1">
        <w:r w:rsidRPr="00FE2BBC">
          <w:rPr>
            <w:rFonts w:ascii="Arial" w:eastAsia="Times New Roman" w:hAnsi="Arial" w:cs="Arial"/>
            <w:b/>
            <w:bCs/>
            <w:color w:val="A73743"/>
            <w:sz w:val="24"/>
            <w:szCs w:val="24"/>
            <w:u w:val="single"/>
            <w:lang w:eastAsia="it-IT"/>
          </w:rPr>
          <w:t>urn:nbn:it:unibo-1523</w:t>
        </w:r>
      </w:hyperlink>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Data di discussione</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r w:rsidRPr="00FE2BBC">
        <w:rPr>
          <w:rFonts w:ascii="Arial" w:eastAsia="Times New Roman" w:hAnsi="Arial" w:cs="Arial"/>
          <w:color w:val="000000"/>
          <w:sz w:val="24"/>
          <w:szCs w:val="24"/>
          <w:lang w:eastAsia="it-IT"/>
        </w:rPr>
        <w:t xml:space="preserve">13 </w:t>
      </w:r>
      <w:proofErr w:type="gramStart"/>
      <w:r w:rsidRPr="00FE2BBC">
        <w:rPr>
          <w:rFonts w:ascii="Arial" w:eastAsia="Times New Roman" w:hAnsi="Arial" w:cs="Arial"/>
          <w:color w:val="000000"/>
          <w:sz w:val="24"/>
          <w:szCs w:val="24"/>
          <w:lang w:eastAsia="it-IT"/>
        </w:rPr>
        <w:t>Luglio</w:t>
      </w:r>
      <w:proofErr w:type="gramEnd"/>
      <w:r w:rsidRPr="00FE2BBC">
        <w:rPr>
          <w:rFonts w:ascii="Arial" w:eastAsia="Times New Roman" w:hAnsi="Arial" w:cs="Arial"/>
          <w:color w:val="000000"/>
          <w:sz w:val="24"/>
          <w:szCs w:val="24"/>
          <w:lang w:eastAsia="it-IT"/>
        </w:rPr>
        <w:t xml:space="preserve"> 2009</w:t>
      </w:r>
    </w:p>
    <w:p w:rsidR="00FE2BBC" w:rsidRPr="00FE2BBC" w:rsidRDefault="00FE2BBC" w:rsidP="00FE2BBC">
      <w:pPr>
        <w:shd w:val="clear" w:color="auto" w:fill="EDEDED"/>
        <w:spacing w:after="0" w:line="240" w:lineRule="auto"/>
        <w:jc w:val="right"/>
        <w:rPr>
          <w:rFonts w:ascii="Arial" w:eastAsia="Times New Roman" w:hAnsi="Arial" w:cs="Arial"/>
          <w:b/>
          <w:bCs/>
          <w:color w:val="606060"/>
          <w:sz w:val="24"/>
          <w:szCs w:val="24"/>
          <w:lang w:eastAsia="it-IT"/>
        </w:rPr>
      </w:pPr>
      <w:r w:rsidRPr="00FE2BBC">
        <w:rPr>
          <w:rFonts w:ascii="Arial" w:eastAsia="Times New Roman" w:hAnsi="Arial" w:cs="Arial"/>
          <w:b/>
          <w:bCs/>
          <w:color w:val="606060"/>
          <w:sz w:val="24"/>
          <w:szCs w:val="24"/>
          <w:lang w:eastAsia="it-IT"/>
        </w:rPr>
        <w:t>URI</w:t>
      </w:r>
    </w:p>
    <w:p w:rsidR="00FE2BBC" w:rsidRPr="00FE2BBC" w:rsidRDefault="00FE2BBC" w:rsidP="00FE2BBC">
      <w:pPr>
        <w:shd w:val="clear" w:color="auto" w:fill="EDEDED"/>
        <w:spacing w:after="0" w:line="240" w:lineRule="auto"/>
        <w:rPr>
          <w:rFonts w:ascii="Arial" w:eastAsia="Times New Roman" w:hAnsi="Arial" w:cs="Arial"/>
          <w:color w:val="000000"/>
          <w:sz w:val="24"/>
          <w:szCs w:val="24"/>
          <w:lang w:eastAsia="it-IT"/>
        </w:rPr>
      </w:pPr>
      <w:hyperlink r:id="rId10" w:history="1">
        <w:r w:rsidRPr="00FE2BBC">
          <w:rPr>
            <w:rFonts w:ascii="Arial" w:eastAsia="Times New Roman" w:hAnsi="Arial" w:cs="Arial"/>
            <w:b/>
            <w:bCs/>
            <w:color w:val="A73743"/>
            <w:sz w:val="24"/>
            <w:szCs w:val="24"/>
            <w:u w:val="single"/>
            <w:lang w:eastAsia="it-IT"/>
          </w:rPr>
          <w:t>http://amsdottorato.unibo.it/id/eprint/1908</w:t>
        </w:r>
      </w:hyperlink>
    </w:p>
    <w:p w:rsidR="00D2474E" w:rsidRDefault="00D2474E"/>
    <w:sectPr w:rsidR="00D2474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BBC"/>
    <w:rsid w:val="0050090E"/>
    <w:rsid w:val="00630B66"/>
    <w:rsid w:val="00871591"/>
    <w:rsid w:val="00D2474E"/>
    <w:rsid w:val="00FE2B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3575"/>
  <w15:chartTrackingRefBased/>
  <w15:docId w15:val="{2DEA1544-83A4-4A58-AD45-F1AF6A29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D2474E"/>
    <w:pPr>
      <w:keepNext/>
      <w:keepLines/>
      <w:spacing w:before="240" w:after="0"/>
      <w:outlineLvl w:val="0"/>
    </w:pPr>
    <w:rPr>
      <w:rFonts w:ascii="Arial Black" w:eastAsiaTheme="majorEastAsia" w:hAnsi="Arial Black" w:cstheme="majorBidi"/>
      <w:b/>
      <w:sz w:val="32"/>
      <w:szCs w:val="32"/>
    </w:rPr>
  </w:style>
  <w:style w:type="paragraph" w:styleId="Titolo2">
    <w:name w:val="heading 2"/>
    <w:basedOn w:val="Normale"/>
    <w:next w:val="Normale"/>
    <w:link w:val="Titolo2Carattere"/>
    <w:uiPriority w:val="9"/>
    <w:unhideWhenUsed/>
    <w:qFormat/>
    <w:rsid w:val="00D2474E"/>
    <w:pPr>
      <w:keepNext/>
      <w:keepLines/>
      <w:spacing w:before="40" w:after="0"/>
      <w:outlineLvl w:val="1"/>
    </w:pPr>
    <w:rPr>
      <w:rFonts w:ascii="Arial" w:eastAsiaTheme="majorEastAsia" w:hAnsi="Arial" w:cstheme="majorBidi"/>
      <w:b/>
      <w:sz w:val="28"/>
      <w:szCs w:val="26"/>
    </w:rPr>
  </w:style>
  <w:style w:type="paragraph" w:styleId="Titolo3">
    <w:name w:val="heading 3"/>
    <w:basedOn w:val="Normale"/>
    <w:next w:val="Normale"/>
    <w:link w:val="Titolo3Carattere"/>
    <w:uiPriority w:val="9"/>
    <w:unhideWhenUsed/>
    <w:qFormat/>
    <w:rsid w:val="00D2474E"/>
    <w:pPr>
      <w:keepNext/>
      <w:keepLines/>
      <w:spacing w:before="40" w:after="0"/>
      <w:outlineLvl w:val="2"/>
    </w:pPr>
    <w:rPr>
      <w:rFonts w:ascii="Arial" w:eastAsiaTheme="majorEastAsia" w:hAnsi="Arial" w:cstheme="majorBidi"/>
      <w:b/>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2474E"/>
    <w:rPr>
      <w:rFonts w:ascii="Arial Black" w:eastAsiaTheme="majorEastAsia" w:hAnsi="Arial Black" w:cstheme="majorBidi"/>
      <w:b/>
      <w:sz w:val="32"/>
      <w:szCs w:val="32"/>
    </w:rPr>
  </w:style>
  <w:style w:type="character" w:customStyle="1" w:styleId="Titolo2Carattere">
    <w:name w:val="Titolo 2 Carattere"/>
    <w:basedOn w:val="Carpredefinitoparagrafo"/>
    <w:link w:val="Titolo2"/>
    <w:uiPriority w:val="9"/>
    <w:rsid w:val="00D2474E"/>
    <w:rPr>
      <w:rFonts w:ascii="Arial" w:eastAsiaTheme="majorEastAsia" w:hAnsi="Arial" w:cstheme="majorBidi"/>
      <w:b/>
      <w:sz w:val="28"/>
      <w:szCs w:val="26"/>
    </w:rPr>
  </w:style>
  <w:style w:type="character" w:customStyle="1" w:styleId="Titolo3Carattere">
    <w:name w:val="Titolo 3 Carattere"/>
    <w:basedOn w:val="Carpredefinitoparagrafo"/>
    <w:link w:val="Titolo3"/>
    <w:uiPriority w:val="9"/>
    <w:rsid w:val="00D2474E"/>
    <w:rPr>
      <w:rFonts w:ascii="Arial" w:eastAsiaTheme="majorEastAsia" w:hAnsi="Arial" w:cstheme="majorBidi"/>
      <w:b/>
      <w:sz w:val="24"/>
      <w:szCs w:val="24"/>
    </w:rPr>
  </w:style>
  <w:style w:type="paragraph" w:customStyle="1" w:styleId="classbody">
    <w:name w:val="class_body"/>
    <w:basedOn w:val="Normale"/>
    <w:rsid w:val="00FE2BB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ersonname">
    <w:name w:val="person_name"/>
    <w:basedOn w:val="Carpredefinitoparagrafo"/>
    <w:rsid w:val="00FE2BBC"/>
  </w:style>
  <w:style w:type="character" w:styleId="Collegamentoipertestuale">
    <w:name w:val="Hyperlink"/>
    <w:basedOn w:val="Carpredefinitoparagrafo"/>
    <w:uiPriority w:val="99"/>
    <w:semiHidden/>
    <w:unhideWhenUsed/>
    <w:rsid w:val="00FE2BBC"/>
    <w:rPr>
      <w:color w:val="0000FF"/>
      <w:u w:val="single"/>
    </w:rPr>
  </w:style>
  <w:style w:type="character" w:customStyle="1" w:styleId="nbn">
    <w:name w:val="nbn"/>
    <w:basedOn w:val="Carpredefinitoparagrafo"/>
    <w:rsid w:val="00FE2B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419210">
      <w:bodyDiv w:val="1"/>
      <w:marLeft w:val="0"/>
      <w:marRight w:val="0"/>
      <w:marTop w:val="0"/>
      <w:marBottom w:val="0"/>
      <w:divBdr>
        <w:top w:val="none" w:sz="0" w:space="0" w:color="auto"/>
        <w:left w:val="none" w:sz="0" w:space="0" w:color="auto"/>
        <w:bottom w:val="none" w:sz="0" w:space="0" w:color="auto"/>
        <w:right w:val="none" w:sz="0" w:space="0" w:color="auto"/>
      </w:divBdr>
      <w:divsChild>
        <w:div w:id="154078408">
          <w:marLeft w:val="0"/>
          <w:marRight w:val="0"/>
          <w:marTop w:val="60"/>
          <w:marBottom w:val="60"/>
          <w:divBdr>
            <w:top w:val="none" w:sz="0" w:space="0" w:color="auto"/>
            <w:left w:val="none" w:sz="0" w:space="0" w:color="auto"/>
            <w:bottom w:val="none" w:sz="0" w:space="0" w:color="auto"/>
            <w:right w:val="none" w:sz="0" w:space="0" w:color="auto"/>
          </w:divBdr>
        </w:div>
        <w:div w:id="1868760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msdottorato.unibo.it/view/settoriconcorsuali/SC-14-C1/" TargetMode="External"/><Relationship Id="rId3" Type="http://schemas.openxmlformats.org/officeDocument/2006/relationships/webSettings" Target="webSettings.xml"/><Relationship Id="rId7" Type="http://schemas.openxmlformats.org/officeDocument/2006/relationships/hyperlink" Target="http://amsdottorato.unibo.it/view/subjects/SPS-1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msdottorato.unibo.it/view/coordinatore/Balloni=3AAugusto=3A=3A.html" TargetMode="External"/><Relationship Id="rId11" Type="http://schemas.openxmlformats.org/officeDocument/2006/relationships/fontTable" Target="fontTable.xml"/><Relationship Id="rId5" Type="http://schemas.openxmlformats.org/officeDocument/2006/relationships/hyperlink" Target="http://amsdottorato.unibo.it/view/dottorati/DOT217/" TargetMode="External"/><Relationship Id="rId10" Type="http://schemas.openxmlformats.org/officeDocument/2006/relationships/hyperlink" Target="http://amsdottorato.unibo.it/id/eprint/1908" TargetMode="External"/><Relationship Id="rId4" Type="http://schemas.openxmlformats.org/officeDocument/2006/relationships/hyperlink" Target="http://amsdottorato.unibo.it/view/relatore/Marotta=3AGemma=3A=3A.html" TargetMode="External"/><Relationship Id="rId9" Type="http://schemas.openxmlformats.org/officeDocument/2006/relationships/hyperlink" Target="http://nbn.depositolegale.it/urn:nbn:it:unibo-152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1331</Words>
  <Characters>7590</Characters>
  <Application>Microsoft Office Word</Application>
  <DocSecurity>0</DocSecurity>
  <Lines>63</Lines>
  <Paragraphs>17</Paragraphs>
  <ScaleCrop>false</ScaleCrop>
  <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SANTORO</dc:creator>
  <cp:keywords/>
  <dc:description/>
  <cp:lastModifiedBy>STUDIO SANTORO</cp:lastModifiedBy>
  <cp:revision>3</cp:revision>
  <dcterms:created xsi:type="dcterms:W3CDTF">2017-12-30T14:13:00Z</dcterms:created>
  <dcterms:modified xsi:type="dcterms:W3CDTF">2017-12-30T14:19:00Z</dcterms:modified>
</cp:coreProperties>
</file>